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173"/>
        <w:gridCol w:w="1664"/>
      </w:tblGrid>
      <w:tr w:rsidR="004034F0" w:rsidTr="00D129A9">
        <w:tc>
          <w:tcPr>
            <w:tcW w:w="253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Код: </w:t>
            </w:r>
            <w:r w:rsidR="0092179A">
              <w:rPr>
                <w:sz w:val="28"/>
                <w:szCs w:val="28"/>
              </w:rPr>
              <w:t>029/01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4D5DD1" w:rsidRDefault="004D5DD1" w:rsidP="00C1274B">
            <w:pPr>
              <w:jc w:val="center"/>
              <w:rPr>
                <w:sz w:val="28"/>
                <w:szCs w:val="28"/>
              </w:rPr>
            </w:pPr>
            <w:r w:rsidRPr="004D5DD1">
              <w:rPr>
                <w:bCs/>
                <w:sz w:val="28"/>
                <w:szCs w:val="28"/>
              </w:rPr>
              <w:t>Управление прекращением исследования</w:t>
            </w: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главного врача </w:t>
            </w:r>
            <w:r w:rsidR="0092179A">
              <w:rPr>
                <w:sz w:val="28"/>
                <w:szCs w:val="28"/>
              </w:rPr>
              <w:t xml:space="preserve">№_____ </w:t>
            </w:r>
            <w:r>
              <w:rPr>
                <w:sz w:val="28"/>
                <w:szCs w:val="28"/>
              </w:rPr>
              <w:t>от</w:t>
            </w:r>
            <w:r w:rsidR="00AF4409">
              <w:rPr>
                <w:sz w:val="28"/>
                <w:szCs w:val="28"/>
              </w:rPr>
              <w:t xml:space="preserve"> 11.01.2016 г.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970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73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034F0" w:rsidTr="00D129A9">
        <w:trPr>
          <w:trHeight w:val="165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D129A9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173" w:type="dxa"/>
          </w:tcPr>
          <w:p w:rsid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rPr>
          <w:trHeight w:val="150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173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Сибагатова А.С.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360BDB" w:rsidTr="00D129A9">
        <w:tc>
          <w:tcPr>
            <w:tcW w:w="2538" w:type="dxa"/>
          </w:tcPr>
          <w:p w:rsidR="00360BDB" w:rsidRDefault="00360BDB" w:rsidP="00360BDB">
            <w:pPr>
              <w:jc w:val="center"/>
              <w:rPr>
                <w:sz w:val="28"/>
                <w:szCs w:val="28"/>
              </w:rPr>
            </w:pPr>
          </w:p>
          <w:p w:rsidR="00360BDB" w:rsidRPr="004034F0" w:rsidRDefault="00360BDB" w:rsidP="00360BDB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970" w:type="dxa"/>
          </w:tcPr>
          <w:p w:rsidR="00360BDB" w:rsidRPr="004034F0" w:rsidRDefault="00360BDB" w:rsidP="00360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</w:p>
        </w:tc>
        <w:tc>
          <w:tcPr>
            <w:tcW w:w="2173" w:type="dxa"/>
          </w:tcPr>
          <w:p w:rsidR="00360BDB" w:rsidRPr="004E30DE" w:rsidRDefault="00360BDB" w:rsidP="00360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664" w:type="dxa"/>
          </w:tcPr>
          <w:p w:rsidR="00360BDB" w:rsidRPr="004034F0" w:rsidRDefault="00360BDB" w:rsidP="00360BDB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5508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92179A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9217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837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C30FA8" w:rsidRDefault="00C30FA8" w:rsidP="004034F0">
      <w:pPr>
        <w:jc w:val="center"/>
      </w:pPr>
    </w:p>
    <w:p w:rsidR="008226BA" w:rsidRPr="008226BA" w:rsidRDefault="0092179A" w:rsidP="004034F0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Астана – 2016</w:t>
      </w:r>
      <w:r w:rsidR="008226BA" w:rsidRPr="008226BA">
        <w:rPr>
          <w:sz w:val="28"/>
          <w:szCs w:val="28"/>
        </w:rPr>
        <w:t xml:space="preserve"> г.</w:t>
      </w:r>
    </w:p>
    <w:p w:rsidR="00ED17FE" w:rsidRPr="004D5DD1" w:rsidRDefault="004D5DD1" w:rsidP="002A0347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bCs/>
          <w:sz w:val="28"/>
          <w:szCs w:val="28"/>
        </w:rPr>
      </w:pPr>
      <w:r w:rsidRPr="004D5DD1">
        <w:rPr>
          <w:b/>
          <w:bCs/>
          <w:sz w:val="28"/>
          <w:szCs w:val="28"/>
        </w:rPr>
        <w:lastRenderedPageBreak/>
        <w:t>Управление прекращением исследования</w:t>
      </w:r>
      <w:r w:rsidR="00D35182" w:rsidRPr="004D5DD1">
        <w:rPr>
          <w:b/>
          <w:bCs/>
          <w:sz w:val="28"/>
          <w:szCs w:val="28"/>
        </w:rPr>
        <w:t xml:space="preserve">  </w:t>
      </w:r>
    </w:p>
    <w:p w:rsidR="002A0347" w:rsidRPr="004D5DD1" w:rsidRDefault="002A0347" w:rsidP="00DD1937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b/>
          <w:sz w:val="28"/>
          <w:szCs w:val="28"/>
        </w:rPr>
      </w:pPr>
    </w:p>
    <w:p w:rsidR="004D5DD1" w:rsidRPr="00021227" w:rsidRDefault="0021761A" w:rsidP="00DD1937">
      <w:pPr>
        <w:pStyle w:val="af4"/>
        <w:numPr>
          <w:ilvl w:val="0"/>
          <w:numId w:val="25"/>
        </w:numPr>
        <w:tabs>
          <w:tab w:val="left" w:pos="567"/>
          <w:tab w:val="left" w:pos="993"/>
        </w:tabs>
        <w:spacing w:after="0"/>
        <w:ind w:left="-284" w:firstLine="851"/>
        <w:jc w:val="both"/>
        <w:rPr>
          <w:sz w:val="28"/>
          <w:szCs w:val="28"/>
        </w:rPr>
      </w:pPr>
      <w:r w:rsidRPr="00021227">
        <w:rPr>
          <w:rFonts w:cstheme="minorHAnsi"/>
          <w:sz w:val="28"/>
          <w:szCs w:val="28"/>
          <w:u w:val="single"/>
        </w:rPr>
        <w:t>Цель</w:t>
      </w:r>
      <w:r w:rsidR="00ED17FE" w:rsidRPr="00021227">
        <w:rPr>
          <w:bCs/>
          <w:iCs/>
          <w:sz w:val="28"/>
          <w:szCs w:val="28"/>
        </w:rPr>
        <w:t>:</w:t>
      </w:r>
      <w:r w:rsidR="004D5DD1" w:rsidRPr="00021227">
        <w:rPr>
          <w:sz w:val="28"/>
          <w:szCs w:val="28"/>
        </w:rPr>
        <w:t xml:space="preserve"> разъяснить как ЛКЭ продолжает и управляет процессом завершением научного исследования. Протоколы обычно завершаются рекомендациями ЛКЭ, спонсором или другим полномочным органом, когда регистрация субъекта и последующее наблюдение за субъектом прерваны до запланированного окончания исследования.</w:t>
      </w:r>
    </w:p>
    <w:p w:rsidR="00300B51" w:rsidRPr="00021227" w:rsidRDefault="0021761A" w:rsidP="00DD1937">
      <w:pPr>
        <w:pStyle w:val="af4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-284" w:firstLine="851"/>
        <w:jc w:val="both"/>
        <w:rPr>
          <w:rFonts w:cstheme="minorHAnsi"/>
          <w:sz w:val="28"/>
          <w:szCs w:val="28"/>
        </w:rPr>
      </w:pPr>
      <w:r w:rsidRPr="00021227">
        <w:rPr>
          <w:rFonts w:cstheme="minorHAnsi"/>
          <w:sz w:val="28"/>
          <w:szCs w:val="28"/>
          <w:u w:val="single"/>
        </w:rPr>
        <w:t>Область применения</w:t>
      </w:r>
      <w:r w:rsidRPr="00021227">
        <w:rPr>
          <w:rFonts w:cstheme="minorHAnsi"/>
          <w:sz w:val="28"/>
          <w:szCs w:val="28"/>
        </w:rPr>
        <w:t xml:space="preserve">: </w:t>
      </w:r>
      <w:r w:rsidR="004D5DD1" w:rsidRPr="00021227">
        <w:rPr>
          <w:sz w:val="28"/>
          <w:szCs w:val="28"/>
        </w:rPr>
        <w:t>данный СОП применяется к любом</w:t>
      </w:r>
      <w:r w:rsidR="00DD1937">
        <w:rPr>
          <w:sz w:val="28"/>
          <w:szCs w:val="28"/>
        </w:rPr>
        <w:t>у исследованию, утвержденному ЛКЭ</w:t>
      </w:r>
      <w:r w:rsidR="004D5DD1" w:rsidRPr="00021227">
        <w:rPr>
          <w:sz w:val="28"/>
          <w:szCs w:val="28"/>
        </w:rPr>
        <w:t>, которому рекомендовано ранее окончание до истечения запланированного срока.</w:t>
      </w:r>
    </w:p>
    <w:p w:rsidR="0021761A" w:rsidRPr="00021227" w:rsidRDefault="0021761A" w:rsidP="00DD1937">
      <w:pPr>
        <w:pStyle w:val="af4"/>
        <w:numPr>
          <w:ilvl w:val="0"/>
          <w:numId w:val="1"/>
        </w:numPr>
        <w:tabs>
          <w:tab w:val="left" w:pos="567"/>
          <w:tab w:val="left" w:pos="900"/>
          <w:tab w:val="left" w:pos="993"/>
        </w:tabs>
        <w:spacing w:after="0"/>
        <w:ind w:left="-284" w:firstLine="851"/>
        <w:jc w:val="both"/>
        <w:rPr>
          <w:rFonts w:cstheme="minorHAnsi"/>
          <w:sz w:val="28"/>
          <w:szCs w:val="28"/>
        </w:rPr>
      </w:pPr>
      <w:r w:rsidRPr="00021227">
        <w:rPr>
          <w:rFonts w:cstheme="minorHAnsi"/>
          <w:sz w:val="28"/>
          <w:szCs w:val="28"/>
          <w:u w:val="single"/>
        </w:rPr>
        <w:t>Определения, сокращения и аббревиатура</w:t>
      </w:r>
      <w:r w:rsidRPr="00021227">
        <w:rPr>
          <w:rFonts w:cstheme="minorHAnsi"/>
          <w:sz w:val="28"/>
          <w:szCs w:val="28"/>
        </w:rPr>
        <w:t>:</w:t>
      </w:r>
    </w:p>
    <w:p w:rsidR="00F40E1A" w:rsidRPr="00021227" w:rsidRDefault="00F40E1A" w:rsidP="00DD1937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21227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021227" w:rsidRDefault="00C56692" w:rsidP="00DD1937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21227">
        <w:rPr>
          <w:rFonts w:cstheme="minorHAnsi"/>
          <w:sz w:val="28"/>
          <w:szCs w:val="28"/>
        </w:rPr>
        <w:t>ЛКЭ</w:t>
      </w:r>
      <w:r w:rsidR="00F40E1A" w:rsidRPr="00021227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</w:p>
    <w:p w:rsidR="00B11741" w:rsidRPr="00021227" w:rsidRDefault="00B11741" w:rsidP="00DD1937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21227">
        <w:rPr>
          <w:rFonts w:cstheme="minorHAnsi"/>
          <w:sz w:val="28"/>
          <w:szCs w:val="28"/>
        </w:rPr>
        <w:t>СОП – стандартная операционная процедура</w:t>
      </w:r>
    </w:p>
    <w:p w:rsidR="00F40E1A" w:rsidRPr="00021227" w:rsidRDefault="00F40E1A" w:rsidP="00DD1937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21227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021227" w:rsidRDefault="00D129A9" w:rsidP="00DD1937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21227">
        <w:rPr>
          <w:rFonts w:cstheme="minorHAnsi"/>
          <w:sz w:val="28"/>
          <w:szCs w:val="28"/>
        </w:rPr>
        <w:t>ПИ – протокол исследования</w:t>
      </w:r>
    </w:p>
    <w:p w:rsidR="002D6435" w:rsidRPr="00021227" w:rsidRDefault="002D6435" w:rsidP="00DD1937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21227">
        <w:rPr>
          <w:rFonts w:cstheme="minorHAnsi"/>
          <w:sz w:val="28"/>
          <w:szCs w:val="28"/>
        </w:rPr>
        <w:t>ИС – информированное согласие</w:t>
      </w:r>
    </w:p>
    <w:p w:rsidR="00300B51" w:rsidRPr="00021227" w:rsidRDefault="00091CBB" w:rsidP="00DD1937">
      <w:pPr>
        <w:pStyle w:val="ac"/>
        <w:numPr>
          <w:ilvl w:val="0"/>
          <w:numId w:val="1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021227">
        <w:rPr>
          <w:rFonts w:cstheme="minorHAnsi"/>
          <w:sz w:val="28"/>
          <w:szCs w:val="28"/>
          <w:u w:val="single"/>
        </w:rPr>
        <w:t>Ответственность</w:t>
      </w:r>
      <w:r w:rsidRPr="00021227">
        <w:rPr>
          <w:rFonts w:cstheme="minorHAnsi"/>
          <w:sz w:val="28"/>
          <w:szCs w:val="28"/>
        </w:rPr>
        <w:t>:</w:t>
      </w:r>
      <w:r w:rsidR="004B4EED" w:rsidRPr="00021227">
        <w:rPr>
          <w:rFonts w:cstheme="minorHAnsi"/>
          <w:sz w:val="28"/>
          <w:szCs w:val="28"/>
        </w:rPr>
        <w:t xml:space="preserve"> председатель, </w:t>
      </w:r>
      <w:r w:rsidR="00B710FE" w:rsidRPr="00021227">
        <w:rPr>
          <w:rFonts w:cstheme="minorHAnsi"/>
          <w:sz w:val="28"/>
          <w:szCs w:val="28"/>
        </w:rPr>
        <w:t>члены ЛКЭ</w:t>
      </w:r>
      <w:r w:rsidR="00F45B3F" w:rsidRPr="00021227">
        <w:rPr>
          <w:rFonts w:cstheme="minorHAnsi"/>
          <w:sz w:val="28"/>
          <w:szCs w:val="28"/>
        </w:rPr>
        <w:t>,</w:t>
      </w:r>
      <w:r w:rsidR="00C1274B" w:rsidRPr="00021227">
        <w:rPr>
          <w:rFonts w:cstheme="minorHAnsi"/>
          <w:sz w:val="28"/>
          <w:szCs w:val="28"/>
        </w:rPr>
        <w:t xml:space="preserve"> </w:t>
      </w:r>
      <w:r w:rsidR="00F45B3F" w:rsidRPr="00021227">
        <w:rPr>
          <w:rFonts w:cstheme="minorHAnsi"/>
          <w:sz w:val="28"/>
          <w:szCs w:val="28"/>
        </w:rPr>
        <w:t>с</w:t>
      </w:r>
      <w:r w:rsidR="00C1274B" w:rsidRPr="00021227">
        <w:rPr>
          <w:rFonts w:cstheme="minorHAnsi"/>
          <w:sz w:val="28"/>
          <w:szCs w:val="28"/>
        </w:rPr>
        <w:t>екретарь</w:t>
      </w:r>
      <w:r w:rsidR="00F45B3F" w:rsidRPr="00021227">
        <w:rPr>
          <w:rFonts w:cstheme="minorHAnsi"/>
          <w:sz w:val="28"/>
          <w:szCs w:val="28"/>
        </w:rPr>
        <w:t>.</w:t>
      </w:r>
    </w:p>
    <w:p w:rsidR="004D5DD1" w:rsidRPr="00021227" w:rsidRDefault="004D5DD1" w:rsidP="00DD1937">
      <w:pPr>
        <w:tabs>
          <w:tab w:val="left" w:pos="567"/>
          <w:tab w:val="left" w:pos="993"/>
        </w:tabs>
        <w:spacing w:after="0" w:line="240" w:lineRule="auto"/>
        <w:ind w:left="-284" w:firstLine="851"/>
        <w:jc w:val="both"/>
        <w:rPr>
          <w:rFonts w:eastAsia="Angsana New"/>
          <w:sz w:val="28"/>
          <w:szCs w:val="28"/>
        </w:rPr>
      </w:pPr>
      <w:bookmarkStart w:id="1" w:name="_Toc26545394"/>
      <w:bookmarkStart w:id="2" w:name="_Toc26602067"/>
      <w:bookmarkStart w:id="3" w:name="_Toc26602380"/>
      <w:bookmarkStart w:id="4" w:name="_Toc27135217"/>
      <w:bookmarkStart w:id="5" w:name="_Toc32381681"/>
      <w:bookmarkStart w:id="6" w:name="_Toc40099592"/>
      <w:r w:rsidRPr="00DD1937">
        <w:rPr>
          <w:bCs/>
          <w:iCs/>
          <w:sz w:val="28"/>
          <w:szCs w:val="28"/>
        </w:rPr>
        <w:t>Ответственность</w:t>
      </w:r>
      <w:bookmarkEnd w:id="1"/>
      <w:bookmarkEnd w:id="2"/>
      <w:bookmarkEnd w:id="3"/>
      <w:bookmarkEnd w:id="4"/>
      <w:bookmarkEnd w:id="5"/>
      <w:bookmarkEnd w:id="6"/>
      <w:r w:rsidRPr="00DD1937">
        <w:rPr>
          <w:bCs/>
          <w:iCs/>
          <w:sz w:val="28"/>
          <w:szCs w:val="28"/>
        </w:rPr>
        <w:t xml:space="preserve"> </w:t>
      </w:r>
      <w:r w:rsidRPr="00DD1937">
        <w:rPr>
          <w:sz w:val="28"/>
          <w:szCs w:val="28"/>
        </w:rPr>
        <w:t>в</w:t>
      </w:r>
      <w:r w:rsidRPr="00021227">
        <w:rPr>
          <w:sz w:val="28"/>
          <w:szCs w:val="28"/>
        </w:rPr>
        <w:t xml:space="preserve">озлагается </w:t>
      </w:r>
      <w:r w:rsidR="00DD1937">
        <w:rPr>
          <w:rFonts w:eastAsia="Angsana New"/>
          <w:sz w:val="28"/>
          <w:szCs w:val="28"/>
        </w:rPr>
        <w:t xml:space="preserve">на Председателя </w:t>
      </w:r>
      <w:r w:rsidRPr="00021227">
        <w:rPr>
          <w:rFonts w:eastAsia="Angsana New"/>
          <w:sz w:val="28"/>
          <w:szCs w:val="28"/>
        </w:rPr>
        <w:t xml:space="preserve">приостановить любое исследование, которое было прежде утверждено </w:t>
      </w:r>
      <w:r w:rsidR="00DD1937">
        <w:rPr>
          <w:rFonts w:eastAsia="Angsana New"/>
          <w:sz w:val="28"/>
          <w:szCs w:val="28"/>
        </w:rPr>
        <w:t>ЛКЭ</w:t>
      </w:r>
      <w:r w:rsidRPr="00021227">
        <w:rPr>
          <w:rFonts w:eastAsia="Angsana New"/>
          <w:sz w:val="28"/>
          <w:szCs w:val="28"/>
        </w:rPr>
        <w:t>, когда безопасность или польза для участников исследования под сомнением или угрозой.</w:t>
      </w:r>
      <w:r w:rsidR="00370770">
        <w:rPr>
          <w:rFonts w:eastAsia="Angsana New"/>
          <w:sz w:val="28"/>
          <w:szCs w:val="28"/>
          <w:lang w:val="kk-KZ"/>
        </w:rPr>
        <w:t xml:space="preserve"> Председатель и</w:t>
      </w:r>
      <w:r w:rsidR="00370770">
        <w:rPr>
          <w:rFonts w:eastAsia="Angsana New"/>
          <w:sz w:val="28"/>
          <w:szCs w:val="28"/>
        </w:rPr>
        <w:t xml:space="preserve"> с</w:t>
      </w:r>
      <w:r w:rsidRPr="00021227">
        <w:rPr>
          <w:rFonts w:eastAsia="Angsana New"/>
          <w:sz w:val="28"/>
          <w:szCs w:val="28"/>
        </w:rPr>
        <w:t>екретар</w:t>
      </w:r>
      <w:r w:rsidR="00370770">
        <w:rPr>
          <w:rFonts w:eastAsia="Angsana New"/>
          <w:sz w:val="28"/>
          <w:szCs w:val="28"/>
          <w:lang w:val="kk-KZ"/>
        </w:rPr>
        <w:t>ь</w:t>
      </w:r>
      <w:r w:rsidRPr="00021227">
        <w:rPr>
          <w:rFonts w:eastAsia="Angsana New"/>
          <w:sz w:val="28"/>
          <w:szCs w:val="28"/>
        </w:rPr>
        <w:t xml:space="preserve"> ответственен за управление процессом приостановления. </w:t>
      </w:r>
    </w:p>
    <w:p w:rsidR="0060185A" w:rsidRPr="00021227" w:rsidRDefault="0060185A" w:rsidP="00DD1937">
      <w:pPr>
        <w:pStyle w:val="ac"/>
        <w:numPr>
          <w:ilvl w:val="0"/>
          <w:numId w:val="1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021227">
        <w:rPr>
          <w:rFonts w:cstheme="minorHAnsi"/>
          <w:sz w:val="28"/>
          <w:szCs w:val="28"/>
          <w:u w:val="single"/>
        </w:rPr>
        <w:t>Процедура</w:t>
      </w:r>
      <w:r w:rsidRPr="00021227">
        <w:rPr>
          <w:rFonts w:cstheme="minorHAnsi"/>
          <w:sz w:val="28"/>
          <w:szCs w:val="28"/>
        </w:rPr>
        <w:t>:</w:t>
      </w:r>
    </w:p>
    <w:p w:rsidR="004D5DD1" w:rsidRPr="00021227" w:rsidRDefault="004D5DD1" w:rsidP="00DD1937">
      <w:pPr>
        <w:tabs>
          <w:tab w:val="left" w:pos="567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021227">
        <w:rPr>
          <w:sz w:val="28"/>
          <w:szCs w:val="28"/>
        </w:rPr>
        <w:t>Необходимо получить рекоме</w:t>
      </w:r>
      <w:r w:rsidR="00DD1937">
        <w:rPr>
          <w:sz w:val="28"/>
          <w:szCs w:val="28"/>
        </w:rPr>
        <w:t>ндацию и комментарии от членов ЛКЭ</w:t>
      </w:r>
      <w:r w:rsidRPr="00021227">
        <w:rPr>
          <w:sz w:val="28"/>
          <w:szCs w:val="28"/>
        </w:rPr>
        <w:t xml:space="preserve">, спонсора или другого полномочного органа по протоколу приостановления исследования. Затем информировать основного исследователя или исследовательскую </w:t>
      </w:r>
      <w:r w:rsidR="00021227" w:rsidRPr="00021227">
        <w:rPr>
          <w:sz w:val="28"/>
          <w:szCs w:val="28"/>
        </w:rPr>
        <w:t>организацию для</w:t>
      </w:r>
      <w:r w:rsidRPr="00021227">
        <w:rPr>
          <w:sz w:val="28"/>
          <w:szCs w:val="28"/>
        </w:rPr>
        <w:t xml:space="preserve"> подготовки и подачи пакета протоколов приостановления. </w:t>
      </w:r>
    </w:p>
    <w:p w:rsidR="004D5DD1" w:rsidRPr="00021227" w:rsidRDefault="004D5DD1" w:rsidP="00DD1937">
      <w:pPr>
        <w:tabs>
          <w:tab w:val="left" w:pos="567"/>
          <w:tab w:val="left" w:pos="993"/>
        </w:tabs>
        <w:spacing w:after="0" w:line="240" w:lineRule="auto"/>
        <w:ind w:left="-284" w:right="-900" w:firstLine="851"/>
        <w:jc w:val="both"/>
        <w:rPr>
          <w:sz w:val="28"/>
          <w:szCs w:val="28"/>
        </w:rPr>
      </w:pPr>
      <w:r w:rsidRPr="00021227">
        <w:rPr>
          <w:sz w:val="28"/>
          <w:szCs w:val="28"/>
        </w:rPr>
        <w:t xml:space="preserve">При получении пакета протоколов необходимо </w:t>
      </w:r>
      <w:r w:rsidR="00021227" w:rsidRPr="00021227">
        <w:rPr>
          <w:sz w:val="28"/>
          <w:szCs w:val="28"/>
        </w:rPr>
        <w:t>проверить наличие</w:t>
      </w:r>
      <w:r w:rsidRPr="00021227">
        <w:rPr>
          <w:sz w:val="28"/>
          <w:szCs w:val="28"/>
        </w:rPr>
        <w:t xml:space="preserve">: </w:t>
      </w:r>
    </w:p>
    <w:p w:rsidR="004D5DD1" w:rsidRPr="00021227" w:rsidRDefault="004D5DD1" w:rsidP="00DD1937">
      <w:pPr>
        <w:numPr>
          <w:ilvl w:val="0"/>
          <w:numId w:val="24"/>
        </w:numPr>
        <w:tabs>
          <w:tab w:val="clear" w:pos="720"/>
          <w:tab w:val="left" w:pos="567"/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021227">
        <w:rPr>
          <w:sz w:val="28"/>
          <w:szCs w:val="28"/>
        </w:rPr>
        <w:t xml:space="preserve">Запрос Меморандума о приостановлении исследования (запрос для </w:t>
      </w:r>
      <w:r w:rsidR="00021227" w:rsidRPr="00021227">
        <w:rPr>
          <w:sz w:val="28"/>
          <w:szCs w:val="28"/>
        </w:rPr>
        <w:t>получения меморандума</w:t>
      </w:r>
      <w:r w:rsidRPr="00021227">
        <w:rPr>
          <w:sz w:val="28"/>
          <w:szCs w:val="28"/>
        </w:rPr>
        <w:t xml:space="preserve"> о приостановлении </w:t>
      </w:r>
      <w:r w:rsidR="00DD1937" w:rsidRPr="00021227">
        <w:rPr>
          <w:sz w:val="28"/>
          <w:szCs w:val="28"/>
        </w:rPr>
        <w:t>исследования должен</w:t>
      </w:r>
      <w:r w:rsidRPr="00021227">
        <w:rPr>
          <w:sz w:val="28"/>
          <w:szCs w:val="28"/>
        </w:rPr>
        <w:t xml:space="preserve"> содержать короткое письменное резюме протокола, его результаты и собранные данные); </w:t>
      </w:r>
    </w:p>
    <w:p w:rsidR="004D5DD1" w:rsidRPr="00021227" w:rsidRDefault="00DD1937" w:rsidP="00DD1937">
      <w:pPr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-284" w:right="-902" w:firstLine="851"/>
        <w:jc w:val="both"/>
        <w:rPr>
          <w:sz w:val="28"/>
          <w:szCs w:val="28"/>
        </w:rPr>
      </w:pPr>
      <w:r w:rsidRPr="00021227">
        <w:rPr>
          <w:sz w:val="28"/>
          <w:szCs w:val="28"/>
        </w:rPr>
        <w:t>Оригинал формы</w:t>
      </w:r>
      <w:r w:rsidR="004D5DD1" w:rsidRPr="00021227">
        <w:rPr>
          <w:sz w:val="28"/>
          <w:szCs w:val="28"/>
        </w:rPr>
        <w:t xml:space="preserve"> Заявки на текущую оценку;</w:t>
      </w:r>
    </w:p>
    <w:p w:rsidR="004D5DD1" w:rsidRPr="00021227" w:rsidRDefault="004D5DD1" w:rsidP="00DD1937">
      <w:pPr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-284" w:right="-902" w:firstLine="851"/>
        <w:jc w:val="both"/>
        <w:rPr>
          <w:sz w:val="28"/>
          <w:szCs w:val="28"/>
        </w:rPr>
      </w:pPr>
      <w:r w:rsidRPr="00021227">
        <w:rPr>
          <w:sz w:val="28"/>
          <w:szCs w:val="28"/>
        </w:rPr>
        <w:t>Наличие требуемых подписей (</w:t>
      </w:r>
      <w:r w:rsidR="00DD1937" w:rsidRPr="00021227">
        <w:rPr>
          <w:sz w:val="28"/>
          <w:szCs w:val="28"/>
        </w:rPr>
        <w:t>основной исследователь</w:t>
      </w:r>
      <w:r w:rsidRPr="00021227">
        <w:rPr>
          <w:sz w:val="28"/>
          <w:szCs w:val="28"/>
        </w:rPr>
        <w:t xml:space="preserve">); </w:t>
      </w:r>
    </w:p>
    <w:p w:rsidR="00370770" w:rsidRDefault="004D5DD1" w:rsidP="00370770">
      <w:pPr>
        <w:numPr>
          <w:ilvl w:val="0"/>
          <w:numId w:val="24"/>
        </w:numPr>
        <w:tabs>
          <w:tab w:val="left" w:pos="567"/>
          <w:tab w:val="left" w:pos="993"/>
          <w:tab w:val="left" w:pos="1440"/>
        </w:tabs>
        <w:spacing w:after="0" w:line="240" w:lineRule="auto"/>
        <w:ind w:left="-284" w:right="-902" w:firstLine="851"/>
        <w:jc w:val="both"/>
        <w:rPr>
          <w:sz w:val="28"/>
          <w:szCs w:val="28"/>
        </w:rPr>
      </w:pPr>
      <w:r w:rsidRPr="00021227">
        <w:rPr>
          <w:sz w:val="28"/>
          <w:szCs w:val="28"/>
        </w:rPr>
        <w:t xml:space="preserve">Инициалы и дата получения пакета. </w:t>
      </w:r>
      <w:bookmarkStart w:id="7" w:name="_Toc32381685"/>
      <w:bookmarkStart w:id="8" w:name="_Toc40099596"/>
    </w:p>
    <w:p w:rsidR="004D5DD1" w:rsidRPr="00370770" w:rsidRDefault="004D5DD1" w:rsidP="00370770">
      <w:pPr>
        <w:tabs>
          <w:tab w:val="left" w:pos="567"/>
          <w:tab w:val="left" w:pos="993"/>
          <w:tab w:val="left" w:pos="1440"/>
        </w:tabs>
        <w:spacing w:after="0" w:line="240" w:lineRule="auto"/>
        <w:ind w:left="567" w:right="-902"/>
        <w:jc w:val="both"/>
        <w:rPr>
          <w:b/>
          <w:sz w:val="28"/>
          <w:szCs w:val="28"/>
        </w:rPr>
      </w:pPr>
      <w:r w:rsidRPr="00370770">
        <w:rPr>
          <w:rFonts w:ascii="Times New Roman" w:hAnsi="Times New Roman"/>
          <w:b/>
          <w:sz w:val="28"/>
          <w:szCs w:val="28"/>
        </w:rPr>
        <w:t>Оценка и обсуждение пакета о приостановлени</w:t>
      </w:r>
      <w:bookmarkEnd w:id="7"/>
      <w:bookmarkEnd w:id="8"/>
      <w:r w:rsidRPr="00370770">
        <w:rPr>
          <w:rFonts w:ascii="Times New Roman" w:hAnsi="Times New Roman"/>
          <w:b/>
          <w:sz w:val="28"/>
          <w:szCs w:val="28"/>
        </w:rPr>
        <w:t xml:space="preserve">и исследования </w:t>
      </w:r>
    </w:p>
    <w:p w:rsidR="004D5DD1" w:rsidRPr="00021227" w:rsidRDefault="004D5DD1" w:rsidP="00DD1937">
      <w:pPr>
        <w:tabs>
          <w:tab w:val="left" w:pos="0"/>
          <w:tab w:val="left" w:pos="567"/>
          <w:tab w:val="left" w:pos="993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021227">
        <w:rPr>
          <w:sz w:val="28"/>
          <w:szCs w:val="28"/>
        </w:rPr>
        <w:t xml:space="preserve">Необходимо уведомить Председателя в отношении рекомендации для протокола о приостановлении исследования. Отправить копию пакета о приостановлении Председателю в течение 1 рабочего дня после получения пакета. Затем Председатель оценивает результаты </w:t>
      </w:r>
      <w:r w:rsidR="00DD1937" w:rsidRPr="00021227">
        <w:rPr>
          <w:sz w:val="28"/>
          <w:szCs w:val="28"/>
        </w:rPr>
        <w:t>и причины</w:t>
      </w:r>
      <w:r w:rsidRPr="00021227">
        <w:rPr>
          <w:sz w:val="28"/>
          <w:szCs w:val="28"/>
        </w:rPr>
        <w:t>; собирает срочное совещание для обсуждения рекомендации. После этого, Председател</w:t>
      </w:r>
      <w:r w:rsidR="00A44520">
        <w:rPr>
          <w:sz w:val="28"/>
          <w:szCs w:val="28"/>
        </w:rPr>
        <w:t>ь подписывает и ставит дату на ф</w:t>
      </w:r>
      <w:r w:rsidRPr="00021227">
        <w:rPr>
          <w:sz w:val="28"/>
          <w:szCs w:val="28"/>
        </w:rPr>
        <w:t xml:space="preserve">орме </w:t>
      </w:r>
      <w:r w:rsidR="00A44520">
        <w:rPr>
          <w:sz w:val="28"/>
          <w:szCs w:val="28"/>
        </w:rPr>
        <w:t>з</w:t>
      </w:r>
      <w:r w:rsidR="00A44520" w:rsidRPr="00021227">
        <w:rPr>
          <w:sz w:val="28"/>
          <w:szCs w:val="28"/>
        </w:rPr>
        <w:t>аявки на</w:t>
      </w:r>
      <w:r w:rsidR="00A44520">
        <w:rPr>
          <w:sz w:val="28"/>
          <w:szCs w:val="28"/>
        </w:rPr>
        <w:t xml:space="preserve"> т</w:t>
      </w:r>
      <w:r w:rsidRPr="00021227">
        <w:rPr>
          <w:sz w:val="28"/>
          <w:szCs w:val="28"/>
        </w:rPr>
        <w:t xml:space="preserve">екущую </w:t>
      </w:r>
      <w:r w:rsidR="00A44520">
        <w:rPr>
          <w:sz w:val="28"/>
          <w:szCs w:val="28"/>
        </w:rPr>
        <w:t>о</w:t>
      </w:r>
      <w:r w:rsidRPr="00021227">
        <w:rPr>
          <w:sz w:val="28"/>
          <w:szCs w:val="28"/>
        </w:rPr>
        <w:t xml:space="preserve">ценку в </w:t>
      </w:r>
      <w:r w:rsidRPr="00021227">
        <w:rPr>
          <w:sz w:val="28"/>
          <w:szCs w:val="28"/>
        </w:rPr>
        <w:lastRenderedPageBreak/>
        <w:t>подтверждение и разрешение приостановления и возвращает форму обратно секретар</w:t>
      </w:r>
      <w:r w:rsidR="00A44520">
        <w:rPr>
          <w:sz w:val="28"/>
          <w:szCs w:val="28"/>
        </w:rPr>
        <w:t>ю</w:t>
      </w:r>
      <w:r w:rsidRPr="00021227">
        <w:rPr>
          <w:sz w:val="28"/>
          <w:szCs w:val="28"/>
        </w:rPr>
        <w:t xml:space="preserve"> в течение 5 рабочих дней после получения пакета. </w:t>
      </w:r>
    </w:p>
    <w:p w:rsidR="004D5DD1" w:rsidRPr="00021227" w:rsidRDefault="004D5DD1" w:rsidP="00DD1937">
      <w:pPr>
        <w:tabs>
          <w:tab w:val="left" w:pos="0"/>
          <w:tab w:val="left" w:pos="567"/>
          <w:tab w:val="left" w:pos="993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021227">
        <w:rPr>
          <w:sz w:val="28"/>
          <w:szCs w:val="28"/>
        </w:rPr>
        <w:t>Секретар</w:t>
      </w:r>
      <w:r w:rsidR="00A44520">
        <w:rPr>
          <w:sz w:val="28"/>
          <w:szCs w:val="28"/>
        </w:rPr>
        <w:t>ь</w:t>
      </w:r>
      <w:r w:rsidRPr="00021227">
        <w:rPr>
          <w:sz w:val="28"/>
          <w:szCs w:val="28"/>
        </w:rPr>
        <w:t xml:space="preserve"> оценивает, подписывает и проставляет дату на форме, указывая, что процесс приостановления завершен. Затем </w:t>
      </w:r>
      <w:r w:rsidR="00A44520" w:rsidRPr="00021227">
        <w:rPr>
          <w:sz w:val="28"/>
          <w:szCs w:val="28"/>
        </w:rPr>
        <w:t>делает копию</w:t>
      </w:r>
      <w:r w:rsidRPr="00021227">
        <w:rPr>
          <w:sz w:val="28"/>
          <w:szCs w:val="28"/>
        </w:rPr>
        <w:t xml:space="preserve"> заполненной формы заявки на текущую оценку и отправляет копию </w:t>
      </w:r>
      <w:r w:rsidR="00A44520" w:rsidRPr="00021227">
        <w:rPr>
          <w:sz w:val="28"/>
          <w:szCs w:val="28"/>
        </w:rPr>
        <w:t>основному исследователю</w:t>
      </w:r>
      <w:r w:rsidRPr="00021227">
        <w:rPr>
          <w:sz w:val="28"/>
          <w:szCs w:val="28"/>
        </w:rPr>
        <w:t xml:space="preserve"> в течение 7 рабочих дней. </w:t>
      </w:r>
    </w:p>
    <w:p w:rsidR="004D5DD1" w:rsidRDefault="004D5DD1" w:rsidP="00DD1937">
      <w:pPr>
        <w:tabs>
          <w:tab w:val="left" w:pos="0"/>
          <w:tab w:val="left" w:pos="567"/>
          <w:tab w:val="left" w:pos="993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021227">
        <w:rPr>
          <w:sz w:val="28"/>
          <w:szCs w:val="28"/>
        </w:rPr>
        <w:t>Хранить оригинал меморандума о приостановлении и оригинал формы заявки на текущую оценку необходимо в файловой папке «Протокол» в архиве. Хранить протокольные документы б</w:t>
      </w:r>
      <w:r w:rsidR="00021227">
        <w:rPr>
          <w:sz w:val="28"/>
          <w:szCs w:val="28"/>
        </w:rPr>
        <w:t>ессрочно.</w:t>
      </w:r>
    </w:p>
    <w:p w:rsidR="00DD1937" w:rsidRPr="00DD1937" w:rsidRDefault="00DD1937" w:rsidP="00DD1937">
      <w:pPr>
        <w:pStyle w:val="ac"/>
        <w:numPr>
          <w:ilvl w:val="0"/>
          <w:numId w:val="26"/>
        </w:numPr>
        <w:tabs>
          <w:tab w:val="left" w:pos="0"/>
          <w:tab w:val="left" w:pos="567"/>
          <w:tab w:val="left" w:pos="993"/>
          <w:tab w:val="left" w:pos="1440"/>
        </w:tabs>
        <w:spacing w:after="0" w:line="240" w:lineRule="auto"/>
        <w:ind w:left="-284" w:firstLine="851"/>
        <w:jc w:val="both"/>
        <w:rPr>
          <w:sz w:val="28"/>
          <w:szCs w:val="28"/>
          <w:u w:val="single"/>
          <w:lang w:val="kk-KZ"/>
        </w:rPr>
      </w:pPr>
      <w:r w:rsidRPr="00DD1937">
        <w:rPr>
          <w:sz w:val="28"/>
          <w:szCs w:val="28"/>
          <w:u w:val="single"/>
          <w:lang w:val="kk-KZ"/>
        </w:rPr>
        <w:t>Приложения</w:t>
      </w:r>
    </w:p>
    <w:p w:rsidR="004D5DD1" w:rsidRPr="002B5A4C" w:rsidRDefault="004D5DD1" w:rsidP="004D5DD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2B5A4C">
        <w:rPr>
          <w:rFonts w:ascii="Times New Roman" w:hAnsi="Times New Roman"/>
          <w:sz w:val="24"/>
          <w:szCs w:val="24"/>
        </w:rPr>
        <w:t xml:space="preserve">  П</w:t>
      </w:r>
      <w:r w:rsidR="0092179A">
        <w:rPr>
          <w:rFonts w:ascii="Times New Roman" w:hAnsi="Times New Roman"/>
          <w:sz w:val="24"/>
          <w:szCs w:val="24"/>
        </w:rPr>
        <w:t>Ф/01-029/01</w:t>
      </w:r>
    </w:p>
    <w:p w:rsidR="004D5DD1" w:rsidRPr="002B5A4C" w:rsidRDefault="004D5DD1" w:rsidP="004D5DD1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9" w:name="_Toc32381693"/>
      <w:bookmarkStart w:id="10" w:name="_Toc40099604"/>
      <w:r w:rsidRPr="002B5A4C">
        <w:rPr>
          <w:rFonts w:ascii="Times New Roman" w:hAnsi="Times New Roman"/>
          <w:sz w:val="24"/>
          <w:szCs w:val="24"/>
        </w:rPr>
        <w:t xml:space="preserve">Меморандум о приостановлении исследования </w:t>
      </w:r>
      <w:bookmarkEnd w:id="9"/>
      <w:bookmarkEnd w:id="10"/>
    </w:p>
    <w:tbl>
      <w:tblPr>
        <w:tblW w:w="838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"/>
        <w:gridCol w:w="534"/>
        <w:gridCol w:w="900"/>
        <w:gridCol w:w="660"/>
        <w:gridCol w:w="60"/>
        <w:gridCol w:w="1980"/>
        <w:gridCol w:w="54"/>
        <w:gridCol w:w="2106"/>
      </w:tblGrid>
      <w:tr w:rsidR="004D5DD1" w:rsidRPr="0006301A" w:rsidTr="00AF1D22">
        <w:tc>
          <w:tcPr>
            <w:tcW w:w="3528" w:type="dxa"/>
            <w:gridSpan w:val="4"/>
          </w:tcPr>
          <w:p w:rsidR="004D5DD1" w:rsidRPr="0006301A" w:rsidRDefault="004D5DD1" w:rsidP="00AF1D22">
            <w:pPr>
              <w:spacing w:before="120" w:after="120"/>
            </w:pPr>
            <w:r w:rsidRPr="0006301A">
              <w:t>№ протокола:</w:t>
            </w:r>
          </w:p>
        </w:tc>
        <w:tc>
          <w:tcPr>
            <w:tcW w:w="4860" w:type="dxa"/>
            <w:gridSpan w:val="5"/>
          </w:tcPr>
          <w:p w:rsidR="004D5DD1" w:rsidRPr="0006301A" w:rsidRDefault="004D5DD1" w:rsidP="00AF1D22">
            <w:pPr>
              <w:spacing w:before="120" w:after="120"/>
            </w:pPr>
            <w:r w:rsidRPr="0006301A">
              <w:t xml:space="preserve">Присвоенный номер: </w:t>
            </w:r>
            <w:r w:rsidRPr="0006301A">
              <w:sym w:font="Webdings" w:char="F063"/>
            </w:r>
            <w:r w:rsidRPr="0006301A">
              <w:sym w:font="Webdings" w:char="F063"/>
            </w:r>
            <w:r w:rsidRPr="0006301A">
              <w:sym w:font="Webdings" w:char="F063"/>
            </w:r>
            <w:r w:rsidRPr="0006301A">
              <w:t xml:space="preserve"> / </w:t>
            </w:r>
            <w:r w:rsidRPr="0006301A">
              <w:sym w:font="Webdings" w:char="F063"/>
            </w:r>
            <w:r w:rsidRPr="0006301A">
              <w:sym w:font="Webdings" w:char="F063"/>
            </w:r>
            <w:r w:rsidRPr="0006301A">
              <w:t>-</w:t>
            </w:r>
            <w:r w:rsidRPr="0006301A">
              <w:sym w:font="Webdings" w:char="F063"/>
            </w:r>
            <w:r w:rsidRPr="0006301A">
              <w:sym w:font="Webdings" w:char="F063"/>
            </w:r>
          </w:p>
        </w:tc>
      </w:tr>
      <w:tr w:rsidR="004D5DD1" w:rsidRPr="0006301A" w:rsidTr="00AF1D22">
        <w:tc>
          <w:tcPr>
            <w:tcW w:w="8388" w:type="dxa"/>
            <w:gridSpan w:val="9"/>
          </w:tcPr>
          <w:p w:rsidR="004D5DD1" w:rsidRPr="0006301A" w:rsidRDefault="004D5DD1" w:rsidP="00DD1937">
            <w:pPr>
              <w:spacing w:before="120" w:after="120"/>
            </w:pPr>
            <w:r w:rsidRPr="0006301A">
              <w:t>Наименование протокола:</w:t>
            </w:r>
          </w:p>
        </w:tc>
      </w:tr>
      <w:tr w:rsidR="004D5DD1" w:rsidRPr="0006301A" w:rsidTr="00AF1D22">
        <w:tc>
          <w:tcPr>
            <w:tcW w:w="2628" w:type="dxa"/>
            <w:gridSpan w:val="3"/>
          </w:tcPr>
          <w:p w:rsidR="004D5DD1" w:rsidRPr="0006301A" w:rsidRDefault="004D5DD1" w:rsidP="00AF1D22">
            <w:pPr>
              <w:spacing w:before="120" w:after="120"/>
            </w:pPr>
            <w:r w:rsidRPr="0006301A">
              <w:t>Основной исследователь:</w:t>
            </w:r>
          </w:p>
        </w:tc>
        <w:tc>
          <w:tcPr>
            <w:tcW w:w="5760" w:type="dxa"/>
            <w:gridSpan w:val="6"/>
          </w:tcPr>
          <w:p w:rsidR="004D5DD1" w:rsidRPr="0006301A" w:rsidRDefault="004D5DD1" w:rsidP="00AF1D22">
            <w:pPr>
              <w:spacing w:before="120" w:after="120"/>
            </w:pPr>
          </w:p>
        </w:tc>
      </w:tr>
      <w:tr w:rsidR="004D5DD1" w:rsidRPr="0006301A" w:rsidTr="00AF1D22">
        <w:tc>
          <w:tcPr>
            <w:tcW w:w="4248" w:type="dxa"/>
            <w:gridSpan w:val="6"/>
          </w:tcPr>
          <w:p w:rsidR="004D5DD1" w:rsidRPr="0006301A" w:rsidRDefault="004D5DD1" w:rsidP="00AF1D22">
            <w:pPr>
              <w:spacing w:before="120" w:after="120"/>
            </w:pPr>
            <w:r w:rsidRPr="0006301A">
              <w:t>телефон:</w:t>
            </w:r>
          </w:p>
        </w:tc>
        <w:tc>
          <w:tcPr>
            <w:tcW w:w="4140" w:type="dxa"/>
            <w:gridSpan w:val="3"/>
          </w:tcPr>
          <w:p w:rsidR="004D5DD1" w:rsidRPr="0006301A" w:rsidRDefault="004D5DD1" w:rsidP="00AF1D22">
            <w:pPr>
              <w:spacing w:before="120" w:after="120"/>
            </w:pPr>
            <w:r>
              <w:t>Адрес электронной почты:</w:t>
            </w:r>
          </w:p>
        </w:tc>
      </w:tr>
      <w:tr w:rsidR="004D5DD1" w:rsidRPr="0006301A" w:rsidTr="00AF1D22">
        <w:tc>
          <w:tcPr>
            <w:tcW w:w="2088" w:type="dxa"/>
          </w:tcPr>
          <w:p w:rsidR="004D5DD1" w:rsidRPr="0006301A" w:rsidRDefault="004D5DD1" w:rsidP="00AF1D22">
            <w:pPr>
              <w:spacing w:before="120" w:after="120"/>
            </w:pPr>
            <w:r w:rsidRPr="0006301A">
              <w:t>Организация:</w:t>
            </w:r>
          </w:p>
        </w:tc>
        <w:tc>
          <w:tcPr>
            <w:tcW w:w="6300" w:type="dxa"/>
            <w:gridSpan w:val="8"/>
          </w:tcPr>
          <w:p w:rsidR="004D5DD1" w:rsidRPr="0006301A" w:rsidRDefault="004D5DD1" w:rsidP="00AF1D22">
            <w:pPr>
              <w:pStyle w:val="af0"/>
              <w:spacing w:before="120" w:after="120"/>
            </w:pPr>
          </w:p>
        </w:tc>
      </w:tr>
      <w:tr w:rsidR="004D5DD1" w:rsidRPr="0006301A" w:rsidTr="00AF1D22">
        <w:tc>
          <w:tcPr>
            <w:tcW w:w="2088" w:type="dxa"/>
          </w:tcPr>
          <w:p w:rsidR="004D5DD1" w:rsidRPr="0006301A" w:rsidRDefault="004D5DD1" w:rsidP="00AF1D22">
            <w:pPr>
              <w:spacing w:before="120" w:after="120"/>
            </w:pPr>
            <w:r w:rsidRPr="0006301A">
              <w:t>спонсор:</w:t>
            </w:r>
          </w:p>
        </w:tc>
        <w:tc>
          <w:tcPr>
            <w:tcW w:w="6300" w:type="dxa"/>
            <w:gridSpan w:val="8"/>
          </w:tcPr>
          <w:p w:rsidR="004D5DD1" w:rsidRPr="0006301A" w:rsidRDefault="004D5DD1" w:rsidP="00AF1D22">
            <w:pPr>
              <w:pStyle w:val="af0"/>
              <w:spacing w:before="120" w:after="120"/>
            </w:pPr>
          </w:p>
        </w:tc>
      </w:tr>
      <w:tr w:rsidR="004D5DD1" w:rsidRPr="0006301A" w:rsidTr="00AF1D22">
        <w:tc>
          <w:tcPr>
            <w:tcW w:w="2094" w:type="dxa"/>
            <w:gridSpan w:val="2"/>
          </w:tcPr>
          <w:p w:rsidR="004D5DD1" w:rsidRPr="0006301A" w:rsidRDefault="00370770" w:rsidP="00370770">
            <w:pPr>
              <w:spacing w:before="120" w:after="120"/>
            </w:pPr>
            <w:r>
              <w:t xml:space="preserve">Дата утверждения </w:t>
            </w:r>
            <w:r>
              <w:rPr>
                <w:lang w:val="kk-KZ"/>
              </w:rPr>
              <w:t>ЛКЭ</w:t>
            </w:r>
            <w:r w:rsidR="004D5DD1" w:rsidRPr="0006301A">
              <w:t>:</w:t>
            </w:r>
          </w:p>
        </w:tc>
        <w:tc>
          <w:tcPr>
            <w:tcW w:w="2094" w:type="dxa"/>
            <w:gridSpan w:val="3"/>
          </w:tcPr>
          <w:p w:rsidR="004D5DD1" w:rsidRPr="0006301A" w:rsidRDefault="004D5DD1" w:rsidP="00AF1D22">
            <w:pPr>
              <w:spacing w:before="120" w:after="120"/>
            </w:pPr>
          </w:p>
        </w:tc>
        <w:tc>
          <w:tcPr>
            <w:tcW w:w="2094" w:type="dxa"/>
            <w:gridSpan w:val="3"/>
          </w:tcPr>
          <w:p w:rsidR="004D5DD1" w:rsidRPr="0006301A" w:rsidRDefault="004D5DD1" w:rsidP="00AF1D22">
            <w:pPr>
              <w:spacing w:before="120" w:after="120"/>
            </w:pPr>
            <w:r w:rsidRPr="0006301A">
              <w:t xml:space="preserve">Дата последнего отчета: </w:t>
            </w:r>
          </w:p>
        </w:tc>
        <w:tc>
          <w:tcPr>
            <w:tcW w:w="2106" w:type="dxa"/>
          </w:tcPr>
          <w:p w:rsidR="004D5DD1" w:rsidRPr="0006301A" w:rsidRDefault="004D5DD1" w:rsidP="00AF1D22">
            <w:pPr>
              <w:spacing w:before="120" w:after="120"/>
            </w:pPr>
          </w:p>
        </w:tc>
      </w:tr>
      <w:tr w:rsidR="004D5DD1" w:rsidRPr="0006301A" w:rsidTr="00AF1D22">
        <w:tc>
          <w:tcPr>
            <w:tcW w:w="2094" w:type="dxa"/>
            <w:gridSpan w:val="2"/>
          </w:tcPr>
          <w:p w:rsidR="004D5DD1" w:rsidRPr="0006301A" w:rsidRDefault="004D5DD1" w:rsidP="00AF1D22">
            <w:pPr>
              <w:spacing w:before="120" w:after="120"/>
            </w:pPr>
            <w:r w:rsidRPr="0006301A">
              <w:t>Дата начала:</w:t>
            </w:r>
          </w:p>
        </w:tc>
        <w:tc>
          <w:tcPr>
            <w:tcW w:w="2094" w:type="dxa"/>
            <w:gridSpan w:val="3"/>
          </w:tcPr>
          <w:p w:rsidR="004D5DD1" w:rsidRPr="0006301A" w:rsidRDefault="004D5DD1" w:rsidP="00AF1D22">
            <w:pPr>
              <w:spacing w:before="120" w:after="120"/>
            </w:pPr>
          </w:p>
        </w:tc>
        <w:tc>
          <w:tcPr>
            <w:tcW w:w="2094" w:type="dxa"/>
            <w:gridSpan w:val="3"/>
          </w:tcPr>
          <w:p w:rsidR="004D5DD1" w:rsidRPr="0006301A" w:rsidRDefault="004D5DD1" w:rsidP="00AF1D22">
            <w:pPr>
              <w:spacing w:before="120" w:after="120"/>
            </w:pPr>
            <w:r w:rsidRPr="0006301A">
              <w:t>Дата приостановления:</w:t>
            </w:r>
          </w:p>
        </w:tc>
        <w:tc>
          <w:tcPr>
            <w:tcW w:w="2106" w:type="dxa"/>
          </w:tcPr>
          <w:p w:rsidR="004D5DD1" w:rsidRPr="0006301A" w:rsidRDefault="004D5DD1" w:rsidP="00AF1D22">
            <w:pPr>
              <w:spacing w:before="120" w:after="120"/>
            </w:pPr>
          </w:p>
        </w:tc>
      </w:tr>
      <w:tr w:rsidR="004D5DD1" w:rsidRPr="0006301A" w:rsidTr="00AF1D22">
        <w:tc>
          <w:tcPr>
            <w:tcW w:w="2094" w:type="dxa"/>
            <w:gridSpan w:val="2"/>
          </w:tcPr>
          <w:p w:rsidR="004D5DD1" w:rsidRPr="0006301A" w:rsidRDefault="004D5DD1" w:rsidP="00AF1D22">
            <w:pPr>
              <w:spacing w:before="120" w:after="120"/>
            </w:pPr>
            <w:r w:rsidRPr="0006301A">
              <w:t>Число участников</w:t>
            </w:r>
          </w:p>
        </w:tc>
        <w:tc>
          <w:tcPr>
            <w:tcW w:w="2094" w:type="dxa"/>
            <w:gridSpan w:val="3"/>
          </w:tcPr>
          <w:p w:rsidR="004D5DD1" w:rsidRPr="0006301A" w:rsidRDefault="004D5DD1" w:rsidP="00AF1D22">
            <w:pPr>
              <w:spacing w:before="120" w:after="120"/>
            </w:pPr>
          </w:p>
        </w:tc>
        <w:tc>
          <w:tcPr>
            <w:tcW w:w="2094" w:type="dxa"/>
            <w:gridSpan w:val="3"/>
          </w:tcPr>
          <w:p w:rsidR="004D5DD1" w:rsidRPr="0006301A" w:rsidRDefault="004D5DD1" w:rsidP="00AF1D22">
            <w:pPr>
              <w:spacing w:before="120" w:after="120"/>
            </w:pPr>
            <w:r w:rsidRPr="0006301A">
              <w:t>Число вовлеченных:</w:t>
            </w:r>
          </w:p>
        </w:tc>
        <w:tc>
          <w:tcPr>
            <w:tcW w:w="2106" w:type="dxa"/>
          </w:tcPr>
          <w:p w:rsidR="004D5DD1" w:rsidRPr="0006301A" w:rsidRDefault="004D5DD1" w:rsidP="00AF1D22">
            <w:pPr>
              <w:spacing w:before="120" w:after="120"/>
            </w:pPr>
          </w:p>
        </w:tc>
      </w:tr>
      <w:tr w:rsidR="004D5DD1" w:rsidRPr="0006301A" w:rsidTr="00AF1D22">
        <w:tc>
          <w:tcPr>
            <w:tcW w:w="2088" w:type="dxa"/>
          </w:tcPr>
          <w:p w:rsidR="004D5DD1" w:rsidRPr="0006301A" w:rsidRDefault="004D5DD1" w:rsidP="00AF1D22">
            <w:pPr>
              <w:spacing w:before="120" w:after="120"/>
            </w:pPr>
            <w:r w:rsidRPr="0006301A">
              <w:t>Резюме результатов</w:t>
            </w:r>
          </w:p>
        </w:tc>
        <w:tc>
          <w:tcPr>
            <w:tcW w:w="6300" w:type="dxa"/>
            <w:gridSpan w:val="8"/>
          </w:tcPr>
          <w:p w:rsidR="004D5DD1" w:rsidRPr="0006301A" w:rsidRDefault="004D5DD1" w:rsidP="00AF1D22">
            <w:pPr>
              <w:spacing w:before="120" w:after="120"/>
            </w:pPr>
          </w:p>
        </w:tc>
      </w:tr>
      <w:tr w:rsidR="004D5DD1" w:rsidRPr="0006301A" w:rsidTr="00AF1D22">
        <w:tc>
          <w:tcPr>
            <w:tcW w:w="2088" w:type="dxa"/>
          </w:tcPr>
          <w:p w:rsidR="004D5DD1" w:rsidRPr="0006301A" w:rsidRDefault="004D5DD1" w:rsidP="00AF1D22">
            <w:pPr>
              <w:spacing w:before="120" w:after="120"/>
            </w:pPr>
            <w:r w:rsidRPr="0006301A">
              <w:t>Собранные данные:</w:t>
            </w:r>
          </w:p>
        </w:tc>
        <w:tc>
          <w:tcPr>
            <w:tcW w:w="6300" w:type="dxa"/>
            <w:gridSpan w:val="8"/>
          </w:tcPr>
          <w:p w:rsidR="004D5DD1" w:rsidRPr="0006301A" w:rsidRDefault="004D5DD1" w:rsidP="00AF1D22">
            <w:pPr>
              <w:pStyle w:val="af0"/>
              <w:spacing w:before="120" w:after="120"/>
            </w:pPr>
          </w:p>
        </w:tc>
      </w:tr>
      <w:tr w:rsidR="004D5DD1" w:rsidRPr="0006301A" w:rsidTr="00AF1D22">
        <w:tc>
          <w:tcPr>
            <w:tcW w:w="2094" w:type="dxa"/>
            <w:gridSpan w:val="2"/>
          </w:tcPr>
          <w:p w:rsidR="004D5DD1" w:rsidRPr="0006301A" w:rsidRDefault="004D5DD1" w:rsidP="00AF1D22">
            <w:pPr>
              <w:spacing w:before="120" w:after="120"/>
            </w:pPr>
            <w:r w:rsidRPr="0006301A">
              <w:t xml:space="preserve">Подпись </w:t>
            </w:r>
            <w:r>
              <w:t>главного</w:t>
            </w:r>
            <w:r w:rsidRPr="0006301A">
              <w:t xml:space="preserve"> исследователя:</w:t>
            </w:r>
          </w:p>
        </w:tc>
        <w:tc>
          <w:tcPr>
            <w:tcW w:w="4134" w:type="dxa"/>
            <w:gridSpan w:val="5"/>
          </w:tcPr>
          <w:p w:rsidR="004D5DD1" w:rsidRPr="0006301A" w:rsidRDefault="004D5DD1" w:rsidP="00AF1D22">
            <w:pPr>
              <w:spacing w:before="120" w:after="120"/>
            </w:pPr>
          </w:p>
        </w:tc>
        <w:tc>
          <w:tcPr>
            <w:tcW w:w="2160" w:type="dxa"/>
            <w:gridSpan w:val="2"/>
          </w:tcPr>
          <w:p w:rsidR="004D5DD1" w:rsidRPr="0006301A" w:rsidRDefault="004D5DD1" w:rsidP="00AF1D22">
            <w:pPr>
              <w:spacing w:before="120" w:after="120"/>
            </w:pPr>
            <w:r>
              <w:t>Д</w:t>
            </w:r>
            <w:r w:rsidRPr="0006301A">
              <w:t>ата:</w:t>
            </w:r>
          </w:p>
        </w:tc>
      </w:tr>
    </w:tbl>
    <w:p w:rsidR="004D5DD1" w:rsidRDefault="004D5DD1" w:rsidP="004D5DD1"/>
    <w:p w:rsidR="00091CBB" w:rsidRPr="005639DB" w:rsidRDefault="00091CBB" w:rsidP="00DD1937">
      <w:pPr>
        <w:pStyle w:val="af4"/>
        <w:numPr>
          <w:ilvl w:val="0"/>
          <w:numId w:val="26"/>
        </w:numPr>
        <w:tabs>
          <w:tab w:val="clear" w:pos="720"/>
          <w:tab w:val="left" w:pos="993"/>
        </w:tabs>
        <w:spacing w:after="0"/>
        <w:ind w:left="-284" w:firstLine="851"/>
        <w:rPr>
          <w:rFonts w:asciiTheme="majorHAnsi" w:hAnsiTheme="majorHAnsi" w:cstheme="majorHAnsi"/>
          <w:sz w:val="28"/>
          <w:szCs w:val="28"/>
          <w:u w:val="single"/>
        </w:rPr>
      </w:pPr>
      <w:r w:rsidRPr="005639DB">
        <w:rPr>
          <w:rFonts w:asciiTheme="majorHAnsi" w:hAnsiTheme="majorHAnsi" w:cstheme="majorHAnsi"/>
          <w:sz w:val="28"/>
          <w:szCs w:val="28"/>
          <w:u w:val="single"/>
        </w:rPr>
        <w:t>Ссылки на НПА</w:t>
      </w:r>
    </w:p>
    <w:p w:rsidR="00B7362E" w:rsidRPr="005639DB" w:rsidRDefault="0059600F" w:rsidP="005639D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hyperlink r:id="rId8" w:history="1">
        <w:r w:rsidR="00B7362E" w:rsidRPr="005639DB">
          <w:rPr>
            <w:bCs/>
            <w:sz w:val="28"/>
            <w:szCs w:val="28"/>
          </w:rPr>
          <w:t>Конституцией</w:t>
        </w:r>
      </w:hyperlink>
      <w:r w:rsidR="00B7362E" w:rsidRPr="005639DB">
        <w:rPr>
          <w:sz w:val="28"/>
          <w:szCs w:val="28"/>
        </w:rPr>
        <w:t xml:space="preserve"> Республики Казахстан от 30 августа 1995 года;</w:t>
      </w:r>
    </w:p>
    <w:p w:rsidR="00B7362E" w:rsidRPr="005639DB" w:rsidRDefault="00B7362E" w:rsidP="005639D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lastRenderedPageBreak/>
        <w:t>-Кодекс Республики Казахстан</w:t>
      </w:r>
      <w:r w:rsidR="00065186" w:rsidRPr="005639DB">
        <w:rPr>
          <w:sz w:val="28"/>
          <w:szCs w:val="28"/>
        </w:rPr>
        <w:t xml:space="preserve"> </w:t>
      </w:r>
      <w:r w:rsidRPr="005639DB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5639DB" w:rsidRDefault="00B7362E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</w:t>
      </w:r>
      <w:r w:rsidR="00B7362E" w:rsidRPr="005639DB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</w:t>
      </w:r>
      <w:r w:rsidR="00B7362E" w:rsidRPr="00B7362E">
        <w:rPr>
          <w:sz w:val="28"/>
          <w:szCs w:val="28"/>
        </w:rPr>
        <w:t>блики Казахстан от 14 февраля 2005 года №53);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11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11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AF4409">
      <w:pPr>
        <w:pStyle w:val="ac"/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ED17FE">
        <w:tc>
          <w:tcPr>
            <w:tcW w:w="112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3C341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C3416" w:rsidTr="003C3416">
        <w:tc>
          <w:tcPr>
            <w:tcW w:w="1129" w:type="dxa"/>
          </w:tcPr>
          <w:p w:rsidR="003C3416" w:rsidRPr="00FB254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C3416" w:rsidTr="003C3416">
        <w:tc>
          <w:tcPr>
            <w:tcW w:w="1129" w:type="dxa"/>
          </w:tcPr>
          <w:p w:rsidR="003C3416" w:rsidRPr="00FB254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C3416" w:rsidTr="00ED17FE">
        <w:tc>
          <w:tcPr>
            <w:tcW w:w="1129" w:type="dxa"/>
            <w:tcBorders>
              <w:bottom w:val="single" w:sz="4" w:space="0" w:color="auto"/>
            </w:tcBorders>
          </w:tcPr>
          <w:p w:rsidR="003C3416" w:rsidRPr="00FB254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C3416" w:rsidRDefault="003C341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AF4409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E267C4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0F" w:rsidRDefault="0059600F" w:rsidP="003D5EB8">
      <w:pPr>
        <w:spacing w:after="0" w:line="240" w:lineRule="auto"/>
      </w:pPr>
      <w:r>
        <w:separator/>
      </w:r>
    </w:p>
  </w:endnote>
  <w:endnote w:type="continuationSeparator" w:id="0">
    <w:p w:rsidR="0059600F" w:rsidRDefault="0059600F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4AB" w:rsidRDefault="001254AB" w:rsidP="001254AB">
    <w:pPr>
      <w:pStyle w:val="af0"/>
      <w:rPr>
        <w:color w:val="000000"/>
      </w:rPr>
    </w:pPr>
  </w:p>
  <w:p w:rsidR="001254AB" w:rsidRPr="00087402" w:rsidRDefault="001254AB" w:rsidP="001254AB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370770">
      <w:rPr>
        <w:noProof/>
        <w:color w:val="000000"/>
      </w:rPr>
      <w:t>3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4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1254AB" w:rsidRDefault="00A7753C" w:rsidP="001254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0F" w:rsidRDefault="0059600F" w:rsidP="003D5EB8">
      <w:pPr>
        <w:spacing w:after="0" w:line="240" w:lineRule="auto"/>
      </w:pPr>
      <w:r>
        <w:separator/>
      </w:r>
    </w:p>
  </w:footnote>
  <w:footnote w:type="continuationSeparator" w:id="0">
    <w:p w:rsidR="0059600F" w:rsidRDefault="0059600F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E267C4" w:rsidP="00E267C4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60EB24CB" wp14:editId="37EF655A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E267C4" w:rsidP="00E267C4">
    <w:pPr>
      <w:pStyle w:val="ae"/>
      <w:jc w:val="center"/>
    </w:pPr>
    <w:r>
      <w:rPr>
        <w:noProof/>
        <w:lang w:eastAsia="ru-RU"/>
      </w:rPr>
      <w:drawing>
        <wp:inline distT="0" distB="0" distL="0" distR="0" wp14:anchorId="1D466153" wp14:editId="036B4338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2F6"/>
    <w:multiLevelType w:val="singleLevel"/>
    <w:tmpl w:val="A27E62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>
    <w:nsid w:val="1A2825AF"/>
    <w:multiLevelType w:val="hybridMultilevel"/>
    <w:tmpl w:val="DD70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7">
    <w:nsid w:val="30171EA2"/>
    <w:multiLevelType w:val="hybridMultilevel"/>
    <w:tmpl w:val="F1307644"/>
    <w:lvl w:ilvl="0" w:tplc="8892C6FA">
      <w:start w:val="1"/>
      <w:numFmt w:val="decimal"/>
      <w:lvlText w:val="%1."/>
      <w:lvlJc w:val="left"/>
      <w:pPr>
        <w:ind w:left="1920" w:hanging="360"/>
      </w:pPr>
      <w:rPr>
        <w:rFonts w:cstheme="minorHAnsi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25944AB"/>
    <w:multiLevelType w:val="hybridMultilevel"/>
    <w:tmpl w:val="CCAA4B26"/>
    <w:lvl w:ilvl="0" w:tplc="B7CC7C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C680A"/>
    <w:multiLevelType w:val="hybridMultilevel"/>
    <w:tmpl w:val="1C1842AE"/>
    <w:lvl w:ilvl="0" w:tplc="0E3C8D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B132B"/>
    <w:multiLevelType w:val="hybridMultilevel"/>
    <w:tmpl w:val="2BA81E0C"/>
    <w:lvl w:ilvl="0" w:tplc="11F2B0A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A08B3"/>
    <w:multiLevelType w:val="hybridMultilevel"/>
    <w:tmpl w:val="5C48B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cs="Angsana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  <w:cs w:val="0"/>
        <w:lang w:bidi="th-TH"/>
      </w:rPr>
    </w:lvl>
  </w:abstractNum>
  <w:abstractNum w:abstractNumId="15">
    <w:nsid w:val="51E75C7F"/>
    <w:multiLevelType w:val="hybridMultilevel"/>
    <w:tmpl w:val="050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7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8">
    <w:nsid w:val="55236466"/>
    <w:multiLevelType w:val="hybridMultilevel"/>
    <w:tmpl w:val="B39C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C477B"/>
    <w:multiLevelType w:val="hybridMultilevel"/>
    <w:tmpl w:val="0C0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841D5"/>
    <w:multiLevelType w:val="hybridMultilevel"/>
    <w:tmpl w:val="7F0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2214D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23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5">
    <w:nsid w:val="7FEB1FAA"/>
    <w:multiLevelType w:val="hybridMultilevel"/>
    <w:tmpl w:val="651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416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11"/>
  </w:num>
  <w:num w:numId="6">
    <w:abstractNumId w:val="21"/>
  </w:num>
  <w:num w:numId="7">
    <w:abstractNumId w:val="18"/>
  </w:num>
  <w:num w:numId="8">
    <w:abstractNumId w:val="2"/>
  </w:num>
  <w:num w:numId="9">
    <w:abstractNumId w:val="24"/>
  </w:num>
  <w:num w:numId="10">
    <w:abstractNumId w:val="3"/>
  </w:num>
  <w:num w:numId="11">
    <w:abstractNumId w:val="4"/>
  </w:num>
  <w:num w:numId="12">
    <w:abstractNumId w:val="16"/>
  </w:num>
  <w:num w:numId="13">
    <w:abstractNumId w:val="17"/>
  </w:num>
  <w:num w:numId="14">
    <w:abstractNumId w:val="6"/>
  </w:num>
  <w:num w:numId="15">
    <w:abstractNumId w:val="1"/>
  </w:num>
  <w:num w:numId="16">
    <w:abstractNumId w:val="23"/>
  </w:num>
  <w:num w:numId="17">
    <w:abstractNumId w:val="13"/>
  </w:num>
  <w:num w:numId="18">
    <w:abstractNumId w:val="19"/>
  </w:num>
  <w:num w:numId="19">
    <w:abstractNumId w:val="8"/>
  </w:num>
  <w:num w:numId="20">
    <w:abstractNumId w:val="20"/>
  </w:num>
  <w:num w:numId="21">
    <w:abstractNumId w:val="15"/>
  </w:num>
  <w:num w:numId="22">
    <w:abstractNumId w:val="22"/>
  </w:num>
  <w:num w:numId="23">
    <w:abstractNumId w:val="5"/>
  </w:num>
  <w:num w:numId="24">
    <w:abstractNumId w:val="25"/>
  </w:num>
  <w:num w:numId="25">
    <w:abstractNumId w:val="7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21227"/>
    <w:rsid w:val="00060A84"/>
    <w:rsid w:val="00065186"/>
    <w:rsid w:val="00091CBB"/>
    <w:rsid w:val="000A24D8"/>
    <w:rsid w:val="00105229"/>
    <w:rsid w:val="001254AB"/>
    <w:rsid w:val="00142E90"/>
    <w:rsid w:val="00190DBD"/>
    <w:rsid w:val="00196F2F"/>
    <w:rsid w:val="001A35F9"/>
    <w:rsid w:val="00215B4E"/>
    <w:rsid w:val="0021761A"/>
    <w:rsid w:val="0026130C"/>
    <w:rsid w:val="002750A0"/>
    <w:rsid w:val="00287C69"/>
    <w:rsid w:val="002A0347"/>
    <w:rsid w:val="002B6C03"/>
    <w:rsid w:val="002C35BD"/>
    <w:rsid w:val="002D6435"/>
    <w:rsid w:val="00300B51"/>
    <w:rsid w:val="00303588"/>
    <w:rsid w:val="00336194"/>
    <w:rsid w:val="00340FDF"/>
    <w:rsid w:val="00360BDB"/>
    <w:rsid w:val="00364942"/>
    <w:rsid w:val="00370770"/>
    <w:rsid w:val="00396A22"/>
    <w:rsid w:val="003C3416"/>
    <w:rsid w:val="003D5EB8"/>
    <w:rsid w:val="004034F0"/>
    <w:rsid w:val="00424779"/>
    <w:rsid w:val="00435D3D"/>
    <w:rsid w:val="004753F4"/>
    <w:rsid w:val="004B4EED"/>
    <w:rsid w:val="004C4044"/>
    <w:rsid w:val="004D5DD1"/>
    <w:rsid w:val="004F041F"/>
    <w:rsid w:val="00503556"/>
    <w:rsid w:val="00506EF6"/>
    <w:rsid w:val="005639DB"/>
    <w:rsid w:val="0059600F"/>
    <w:rsid w:val="005C7498"/>
    <w:rsid w:val="0060185A"/>
    <w:rsid w:val="0062136E"/>
    <w:rsid w:val="0065179C"/>
    <w:rsid w:val="006C0EB3"/>
    <w:rsid w:val="00707D4B"/>
    <w:rsid w:val="00732B01"/>
    <w:rsid w:val="00733B21"/>
    <w:rsid w:val="00771266"/>
    <w:rsid w:val="007977A5"/>
    <w:rsid w:val="007C3FBB"/>
    <w:rsid w:val="007C5B29"/>
    <w:rsid w:val="007F41F2"/>
    <w:rsid w:val="00810129"/>
    <w:rsid w:val="008226BA"/>
    <w:rsid w:val="008339DF"/>
    <w:rsid w:val="0092179A"/>
    <w:rsid w:val="00A44520"/>
    <w:rsid w:val="00A7753C"/>
    <w:rsid w:val="00AA725A"/>
    <w:rsid w:val="00AD7B0E"/>
    <w:rsid w:val="00AE75C9"/>
    <w:rsid w:val="00AF2F44"/>
    <w:rsid w:val="00AF4409"/>
    <w:rsid w:val="00B05053"/>
    <w:rsid w:val="00B11741"/>
    <w:rsid w:val="00B5719B"/>
    <w:rsid w:val="00B710FE"/>
    <w:rsid w:val="00B7362E"/>
    <w:rsid w:val="00BA0F4F"/>
    <w:rsid w:val="00C1274B"/>
    <w:rsid w:val="00C16846"/>
    <w:rsid w:val="00C30FA8"/>
    <w:rsid w:val="00C403FF"/>
    <w:rsid w:val="00C46A2C"/>
    <w:rsid w:val="00C5111F"/>
    <w:rsid w:val="00C56692"/>
    <w:rsid w:val="00CB249B"/>
    <w:rsid w:val="00CB365C"/>
    <w:rsid w:val="00D129A9"/>
    <w:rsid w:val="00D35182"/>
    <w:rsid w:val="00D664F2"/>
    <w:rsid w:val="00DD1937"/>
    <w:rsid w:val="00DE3372"/>
    <w:rsid w:val="00E07D07"/>
    <w:rsid w:val="00E267C4"/>
    <w:rsid w:val="00E31468"/>
    <w:rsid w:val="00E513AE"/>
    <w:rsid w:val="00E90B1E"/>
    <w:rsid w:val="00EB0067"/>
    <w:rsid w:val="00ED17FE"/>
    <w:rsid w:val="00ED37B2"/>
    <w:rsid w:val="00EE1069"/>
    <w:rsid w:val="00F40E1A"/>
    <w:rsid w:val="00F45B3F"/>
    <w:rsid w:val="00F4700A"/>
    <w:rsid w:val="00F64222"/>
    <w:rsid w:val="00FB2546"/>
    <w:rsid w:val="00FC6297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40">
    <w:name w:val="Заголовок 4 Знак"/>
    <w:basedOn w:val="a0"/>
    <w:link w:val="4"/>
    <w:uiPriority w:val="9"/>
    <w:semiHidden/>
    <w:rsid w:val="00ED17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B452-0FE1-4247-A132-3E5B967E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25</cp:revision>
  <dcterms:created xsi:type="dcterms:W3CDTF">2015-12-29T14:50:00Z</dcterms:created>
  <dcterms:modified xsi:type="dcterms:W3CDTF">2017-01-26T05:48:00Z</dcterms:modified>
</cp:coreProperties>
</file>